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687D" w:rsidRPr="006A77CF" w:rsidRDefault="0013687D" w:rsidP="0013687D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</w:rPr>
      </w:pPr>
      <w:r>
        <w:rPr>
          <w:b/>
          <w:noProof/>
          <w:sz w:val="24"/>
        </w:rPr>
        <w:t>3GPP TSG-RAN WG2 Meeting #</w:t>
      </w:r>
      <w:r w:rsidRPr="00EB0491">
        <w:rPr>
          <w:rFonts w:eastAsia="Malgun Gothic" w:hint="eastAsia"/>
          <w:b/>
          <w:noProof/>
          <w:sz w:val="24"/>
          <w:lang w:eastAsia="ko-KR"/>
        </w:rPr>
        <w:t>8</w:t>
      </w:r>
      <w:r w:rsidR="00224CA2">
        <w:rPr>
          <w:rFonts w:eastAsia="Malgun Gothic" w:hint="eastAsia"/>
          <w:b/>
          <w:noProof/>
          <w:sz w:val="24"/>
          <w:lang w:eastAsia="ko-KR"/>
        </w:rPr>
        <w:t>9</w:t>
      </w:r>
      <w:r w:rsidR="001B4C03">
        <w:rPr>
          <w:rFonts w:eastAsia="Malgun Gothic" w:hint="eastAsia"/>
          <w:b/>
          <w:noProof/>
          <w:sz w:val="24"/>
          <w:lang w:eastAsia="ko-KR"/>
        </w:rPr>
        <w:t>bis</w:t>
      </w:r>
      <w:r>
        <w:rPr>
          <w:b/>
          <w:i/>
          <w:noProof/>
          <w:sz w:val="28"/>
        </w:rPr>
        <w:tab/>
      </w:r>
      <w:r w:rsidR="00CB78B1" w:rsidRPr="00CB78B1">
        <w:rPr>
          <w:b/>
          <w:i/>
          <w:noProof/>
          <w:sz w:val="28"/>
        </w:rPr>
        <w:t>R2-151646</w:t>
      </w:r>
      <w:bookmarkStart w:id="0" w:name="_GoBack"/>
      <w:bookmarkEnd w:id="0"/>
    </w:p>
    <w:p w:rsidR="0013687D" w:rsidRPr="006A77CF" w:rsidRDefault="001B4C03" w:rsidP="0013687D">
      <w:pPr>
        <w:pStyle w:val="CRCoverPage"/>
        <w:tabs>
          <w:tab w:val="right" w:pos="9639"/>
        </w:tabs>
        <w:spacing w:after="0"/>
        <w:rPr>
          <w:rFonts w:eastAsia="Malgun Gothic"/>
          <w:b/>
          <w:noProof/>
          <w:sz w:val="24"/>
          <w:lang w:eastAsia="ko-KR"/>
        </w:rPr>
      </w:pPr>
      <w:r>
        <w:rPr>
          <w:rFonts w:eastAsia="Malgun Gothic" w:hint="eastAsia"/>
          <w:b/>
          <w:noProof/>
          <w:sz w:val="24"/>
          <w:lang w:eastAsia="ko-KR"/>
        </w:rPr>
        <w:t xml:space="preserve">Bratislava, Slovakia, 20 April </w:t>
      </w:r>
      <w:r>
        <w:rPr>
          <w:rFonts w:eastAsia="Malgun Gothic"/>
          <w:b/>
          <w:noProof/>
          <w:sz w:val="24"/>
          <w:lang w:eastAsia="ko-KR"/>
        </w:rPr>
        <w:t>–</w:t>
      </w:r>
      <w:r>
        <w:rPr>
          <w:rFonts w:eastAsia="Malgun Gothic" w:hint="eastAsia"/>
          <w:b/>
          <w:noProof/>
          <w:sz w:val="24"/>
          <w:lang w:eastAsia="ko-KR"/>
        </w:rPr>
        <w:t xml:space="preserve"> 24 April,</w:t>
      </w:r>
      <w:r w:rsidR="0013687D">
        <w:rPr>
          <w:rFonts w:hint="eastAsia"/>
          <w:b/>
          <w:noProof/>
          <w:sz w:val="24"/>
          <w:lang w:eastAsia="ko-KR"/>
        </w:rPr>
        <w:t xml:space="preserve"> </w:t>
      </w:r>
      <w:r w:rsidR="0013687D">
        <w:rPr>
          <w:b/>
          <w:noProof/>
          <w:sz w:val="24"/>
        </w:rPr>
        <w:t>20</w:t>
      </w:r>
      <w:r w:rsidR="0013687D">
        <w:rPr>
          <w:rFonts w:hint="eastAsia"/>
          <w:b/>
          <w:noProof/>
          <w:sz w:val="24"/>
          <w:lang w:eastAsia="ko-KR"/>
        </w:rPr>
        <w:t>1</w:t>
      </w:r>
      <w:r w:rsidR="00224CA2">
        <w:rPr>
          <w:rFonts w:eastAsiaTheme="minorEastAsia" w:hint="eastAsia"/>
          <w:b/>
          <w:noProof/>
          <w:sz w:val="24"/>
          <w:lang w:eastAsia="ko-KR"/>
        </w:rPr>
        <w:t>5</w:t>
      </w:r>
      <w:r w:rsidR="0013687D">
        <w:rPr>
          <w:rFonts w:eastAsia="Malgun Gothic" w:hint="eastAsia"/>
          <w:b/>
          <w:noProof/>
          <w:sz w:val="24"/>
          <w:lang w:eastAsia="ko-KR"/>
        </w:rPr>
        <w:tab/>
      </w:r>
    </w:p>
    <w:p w:rsidR="0013687D" w:rsidRPr="00F86EEE" w:rsidRDefault="0013687D" w:rsidP="0013687D">
      <w:pPr>
        <w:pStyle w:val="CRCoverPage"/>
        <w:tabs>
          <w:tab w:val="right" w:pos="9639"/>
        </w:tabs>
        <w:spacing w:after="0"/>
        <w:rPr>
          <w:rFonts w:eastAsia="Malgun Gothic"/>
          <w:b/>
          <w:noProof/>
          <w:sz w:val="24"/>
          <w:lang w:eastAsia="ko-KR"/>
        </w:rPr>
      </w:pPr>
    </w:p>
    <w:p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Agenda Item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="008C3759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7.2.1 (</w:t>
      </w:r>
      <w:r w:rsidR="008C3759" w:rsidRPr="008C3759">
        <w:rPr>
          <w:rFonts w:ascii="Arial" w:hAnsi="Arial" w:cs="Arial"/>
          <w:b/>
          <w:noProof/>
          <w:sz w:val="28"/>
          <w:szCs w:val="28"/>
          <w:lang w:val="en-US" w:eastAsia="ko-KR"/>
        </w:rPr>
        <w:t>LTE_CA_enh_b5C-Core</w:t>
      </w:r>
      <w:r w:rsidR="008C3759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)</w:t>
      </w:r>
    </w:p>
    <w:p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Source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 xml:space="preserve">: 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LG Electronics Inc.</w:t>
      </w:r>
    </w:p>
    <w:p w:rsidR="00215D97" w:rsidRPr="00BF3F3C" w:rsidRDefault="00215D97" w:rsidP="00215D97">
      <w:pPr>
        <w:tabs>
          <w:tab w:val="left" w:pos="2410"/>
        </w:tabs>
        <w:spacing w:after="60" w:line="288" w:lineRule="auto"/>
        <w:ind w:left="1988" w:hanging="1985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Title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</w:r>
      <w:r w:rsidR="00C86BFD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PUCCH transmission </w:t>
      </w:r>
      <w:r w:rsidR="00A3187A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on a de</w:t>
      </w:r>
      <w:r w:rsidR="00634CD3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>activated</w:t>
      </w:r>
      <w:r w:rsidR="00C86BFD">
        <w:rPr>
          <w:rFonts w:ascii="Arial" w:hAnsi="Arial" w:cs="Arial" w:hint="eastAsia"/>
          <w:b/>
          <w:noProof/>
          <w:sz w:val="28"/>
          <w:szCs w:val="28"/>
          <w:lang w:val="en-US" w:eastAsia="ko-KR"/>
        </w:rPr>
        <w:t xml:space="preserve"> PUCCH SCell</w:t>
      </w:r>
    </w:p>
    <w:p w:rsidR="00215D97" w:rsidRPr="00BF3F3C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>Document for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:</w:t>
      </w:r>
      <w:r w:rsidRPr="00BF3F3C">
        <w:rPr>
          <w:rFonts w:ascii="Arial" w:hAnsi="Arial" w:cs="Arial"/>
          <w:b/>
          <w:noProof/>
          <w:sz w:val="28"/>
          <w:szCs w:val="28"/>
          <w:lang w:val="en-US" w:eastAsia="ko-KR"/>
        </w:rPr>
        <w:tab/>
        <w:t>Discussion and Decision</w:t>
      </w:r>
    </w:p>
    <w:p w:rsidR="0013687D" w:rsidRDefault="0013687D" w:rsidP="0013687D">
      <w:pPr>
        <w:pStyle w:val="Heading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:rsidR="00890494" w:rsidRDefault="00890494" w:rsidP="00D844FB">
      <w:pPr>
        <w:rPr>
          <w:lang w:eastAsia="ko-KR"/>
        </w:rPr>
      </w:pPr>
      <w:r>
        <w:rPr>
          <w:rFonts w:hint="eastAsia"/>
          <w:lang w:val="en-US" w:eastAsia="ko-KR"/>
        </w:rPr>
        <w:t>In RAN2 #89</w:t>
      </w:r>
      <w:r w:rsidR="00D57676">
        <w:rPr>
          <w:rFonts w:hint="eastAsia"/>
          <w:lang w:val="en-US" w:eastAsia="ko-KR"/>
        </w:rPr>
        <w:t xml:space="preserve"> meeting</w:t>
      </w:r>
      <w:r>
        <w:rPr>
          <w:rFonts w:hint="eastAsia"/>
          <w:lang w:val="en-US" w:eastAsia="ko-KR"/>
        </w:rPr>
        <w:t xml:space="preserve">, RAN2 started to discuss </w:t>
      </w:r>
      <w:r w:rsidR="00A049F8">
        <w:rPr>
          <w:rFonts w:hint="eastAsia"/>
          <w:lang w:val="en-US" w:eastAsia="ko-KR"/>
        </w:rPr>
        <w:t xml:space="preserve">Work Item on </w:t>
      </w:r>
      <w:r w:rsidR="00A049F8">
        <w:t xml:space="preserve">LTE </w:t>
      </w:r>
      <w:r w:rsidR="00A049F8">
        <w:rPr>
          <w:lang w:eastAsia="zh-CN"/>
        </w:rPr>
        <w:t>Carrier Aggregation Enhancement Beyond 5 Carriers</w:t>
      </w:r>
      <w:r w:rsidR="00A049F8">
        <w:rPr>
          <w:rFonts w:hint="eastAsia"/>
          <w:lang w:eastAsia="ko-KR"/>
        </w:rPr>
        <w:t xml:space="preserve"> [RP-142286]. </w:t>
      </w:r>
      <w:r w:rsidR="007821D7">
        <w:rPr>
          <w:rFonts w:hint="eastAsia"/>
          <w:lang w:eastAsia="ko-KR"/>
        </w:rPr>
        <w:t xml:space="preserve">In that meeting, </w:t>
      </w:r>
      <w:r w:rsidR="00A049F8">
        <w:rPr>
          <w:rFonts w:hint="eastAsia"/>
          <w:lang w:eastAsia="ko-KR"/>
        </w:rPr>
        <w:t xml:space="preserve">RAN2 decided to support Activation/Deactivation mechanism on </w:t>
      </w:r>
      <w:r w:rsidR="007D100C">
        <w:rPr>
          <w:rFonts w:hint="eastAsia"/>
          <w:lang w:eastAsia="ko-KR"/>
        </w:rPr>
        <w:t xml:space="preserve">an SCell </w:t>
      </w:r>
      <w:r w:rsidR="007D100C">
        <w:rPr>
          <w:lang w:eastAsia="ko-KR"/>
        </w:rPr>
        <w:t>configured</w:t>
      </w:r>
      <w:r w:rsidR="007D100C">
        <w:rPr>
          <w:rFonts w:hint="eastAsia"/>
          <w:lang w:eastAsia="ko-KR"/>
        </w:rPr>
        <w:t xml:space="preserve"> with PUCCH, i.e., PUCCH SCell, because</w:t>
      </w:r>
      <w:r w:rsidR="00233DC1">
        <w:rPr>
          <w:rFonts w:hint="eastAsia"/>
          <w:lang w:eastAsia="ko-KR"/>
        </w:rPr>
        <w:t xml:space="preserve"> a</w:t>
      </w:r>
      <w:r w:rsidR="00D57676">
        <w:rPr>
          <w:rFonts w:hint="eastAsia"/>
          <w:lang w:eastAsia="ko-KR"/>
        </w:rPr>
        <w:t xml:space="preserve"> PUCCH SCell is also an SCell.</w:t>
      </w:r>
      <w:r w:rsidR="00102128">
        <w:rPr>
          <w:rFonts w:hint="eastAsia"/>
          <w:lang w:eastAsia="ko-KR"/>
        </w:rPr>
        <w:t xml:space="preserve"> </w:t>
      </w:r>
    </w:p>
    <w:p w:rsidR="00987068" w:rsidRPr="0006430A" w:rsidRDefault="00987068" w:rsidP="00987068">
      <w:pPr>
        <w:rPr>
          <w:b/>
          <w:lang w:eastAsia="ko-KR"/>
        </w:rPr>
      </w:pPr>
      <w:r w:rsidRPr="00A049F8">
        <w:rPr>
          <w:rFonts w:hint="eastAsia"/>
          <w:b/>
          <w:lang w:eastAsia="ko-KR"/>
        </w:rPr>
        <w:t>Agreements in RAN2 #89</w:t>
      </w:r>
      <w:r w:rsidR="009F6FD3">
        <w:rPr>
          <w:rFonts w:hint="eastAsia"/>
          <w:b/>
          <w:lang w:eastAsia="ko-KR"/>
        </w:rPr>
        <w:t xml:space="preserve"> </w:t>
      </w:r>
      <w:r w:rsidR="009F6FD3" w:rsidRPr="009F6FD3">
        <w:rPr>
          <w:rFonts w:hint="eastAsia"/>
          <w:lang w:eastAsia="ko-KR"/>
        </w:rPr>
        <w:t>[2]</w:t>
      </w:r>
    </w:p>
    <w:p w:rsidR="00987068" w:rsidRPr="0006430A" w:rsidRDefault="00987068" w:rsidP="00987068">
      <w:pPr>
        <w:pStyle w:val="ListParagraph"/>
        <w:numPr>
          <w:ilvl w:val="0"/>
          <w:numId w:val="13"/>
        </w:numPr>
        <w:ind w:leftChars="0"/>
        <w:rPr>
          <w:i/>
          <w:lang w:val="en-US" w:eastAsia="ko-KR"/>
        </w:rPr>
      </w:pPr>
      <w:r w:rsidRPr="0006430A">
        <w:rPr>
          <w:i/>
          <w:lang w:val="en-US" w:eastAsia="ko-KR"/>
        </w:rPr>
        <w:t>7</w:t>
      </w:r>
      <w:r>
        <w:rPr>
          <w:rFonts w:hint="eastAsia"/>
          <w:i/>
          <w:lang w:val="en-US" w:eastAsia="ko-KR"/>
        </w:rPr>
        <w:t xml:space="preserve"> </w:t>
      </w:r>
      <w:r w:rsidRPr="0006430A">
        <w:rPr>
          <w:i/>
          <w:lang w:val="en-US" w:eastAsia="ko-KR"/>
        </w:rPr>
        <w:t>Activation/Deactivation should be supported for PUCCH SCell.</w:t>
      </w:r>
    </w:p>
    <w:p w:rsidR="00987068" w:rsidRPr="00987068" w:rsidRDefault="00987068" w:rsidP="00D844FB">
      <w:pPr>
        <w:pStyle w:val="ListParagraph"/>
        <w:numPr>
          <w:ilvl w:val="0"/>
          <w:numId w:val="13"/>
        </w:numPr>
        <w:ind w:leftChars="0"/>
        <w:rPr>
          <w:i/>
          <w:lang w:val="en-US" w:eastAsia="ko-KR"/>
        </w:rPr>
      </w:pPr>
      <w:r w:rsidRPr="0006430A">
        <w:rPr>
          <w:i/>
          <w:lang w:val="en-US" w:eastAsia="ko-KR"/>
        </w:rPr>
        <w:t>7a</w:t>
      </w:r>
      <w:r>
        <w:rPr>
          <w:rFonts w:hint="eastAsia"/>
          <w:i/>
          <w:lang w:val="en-US" w:eastAsia="ko-KR"/>
        </w:rPr>
        <w:t xml:space="preserve"> </w:t>
      </w:r>
      <w:r w:rsidRPr="0006430A">
        <w:rPr>
          <w:i/>
          <w:lang w:val="en-US" w:eastAsia="ko-KR"/>
        </w:rPr>
        <w:t>While PUCCH SCell is deactivated, the other SCells belonging to that PUCCH SCell should not be activated. The eNB can manage the activation/deactivation status properly, i.e., no additional UE based mechanism is needed.</w:t>
      </w:r>
    </w:p>
    <w:p w:rsidR="004E33C8" w:rsidRPr="00A1741A" w:rsidRDefault="00987068" w:rsidP="0013687D">
      <w:pPr>
        <w:rPr>
          <w:lang w:eastAsia="ko-KR"/>
        </w:rPr>
      </w:pPr>
      <w:r>
        <w:rPr>
          <w:rFonts w:hint="eastAsia"/>
          <w:lang w:eastAsia="ko-KR"/>
        </w:rPr>
        <w:t xml:space="preserve">Given that Activation/Deactivation is supported on the PUCCH SCell, RAN2 first need to clarify what the UE behaviour would be on a deactivated PUCCH SCell. </w:t>
      </w:r>
      <w:r w:rsidR="00A1741A">
        <w:rPr>
          <w:rFonts w:hint="eastAsia"/>
          <w:lang w:eastAsia="ko-KR"/>
        </w:rPr>
        <w:t xml:space="preserve">This contribution </w:t>
      </w:r>
      <w:r w:rsidR="00C51047">
        <w:rPr>
          <w:rFonts w:hint="eastAsia"/>
          <w:lang w:eastAsia="ko-KR"/>
        </w:rPr>
        <w:t xml:space="preserve">discusses </w:t>
      </w:r>
      <w:r w:rsidR="00886B0E">
        <w:rPr>
          <w:rFonts w:hint="eastAsia"/>
          <w:lang w:eastAsia="ko-KR"/>
        </w:rPr>
        <w:t>this issue and proposes that PUCCH transmission is allowed on a deactivated PUCCH SCell</w:t>
      </w:r>
      <w:r w:rsidR="00123651">
        <w:rPr>
          <w:rFonts w:hint="eastAsia"/>
          <w:lang w:eastAsia="ko-KR"/>
        </w:rPr>
        <w:t>.</w:t>
      </w:r>
    </w:p>
    <w:p w:rsidR="007A012C" w:rsidRDefault="007A012C" w:rsidP="007A012C">
      <w:pPr>
        <w:pStyle w:val="Heading1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>
        <w:rPr>
          <w:lang w:val="en-US"/>
        </w:rPr>
        <w:t>.</w:t>
      </w:r>
      <w:r>
        <w:rPr>
          <w:lang w:val="en-US"/>
        </w:rPr>
        <w:tab/>
      </w:r>
      <w:r>
        <w:rPr>
          <w:lang w:val="en-US" w:eastAsia="ko-KR"/>
        </w:rPr>
        <w:t>UE</w:t>
      </w:r>
      <w:r>
        <w:rPr>
          <w:rFonts w:hint="eastAsia"/>
          <w:lang w:val="en-US" w:eastAsia="ko-KR"/>
        </w:rPr>
        <w:t xml:space="preserve"> behaviour on </w:t>
      </w:r>
      <w:r w:rsidR="00A16979">
        <w:rPr>
          <w:rFonts w:hint="eastAsia"/>
          <w:lang w:val="en-US" w:eastAsia="ko-KR"/>
        </w:rPr>
        <w:t xml:space="preserve">a </w:t>
      </w:r>
      <w:r>
        <w:rPr>
          <w:rFonts w:hint="eastAsia"/>
          <w:lang w:val="en-US" w:eastAsia="ko-KR"/>
        </w:rPr>
        <w:t>deactivated PUCCH SCell</w:t>
      </w:r>
    </w:p>
    <w:p w:rsidR="007A012C" w:rsidRDefault="007A012C" w:rsidP="007A012C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Currently, in TS36.321, it is specified what the </w:t>
      </w:r>
      <w:r>
        <w:rPr>
          <w:lang w:val="en-US" w:eastAsia="ko-KR"/>
        </w:rPr>
        <w:t>UE</w:t>
      </w:r>
      <w:r>
        <w:rPr>
          <w:rFonts w:hint="eastAsia"/>
          <w:lang w:val="en-US" w:eastAsia="ko-KR"/>
        </w:rPr>
        <w:t xml:space="preserve"> shall not do on the deactivated SCell as follows: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639"/>
      </w:tblGrid>
      <w:tr w:rsidR="007A012C" w:rsidTr="00596DA8">
        <w:tc>
          <w:tcPr>
            <w:tcW w:w="9639" w:type="dxa"/>
            <w:tcBorders>
              <w:top w:val="dashSmallGap" w:sz="4" w:space="0" w:color="auto"/>
              <w:left w:val="dashSmallGap" w:sz="4" w:space="0" w:color="auto"/>
              <w:bottom w:val="dashSmallGap" w:sz="4" w:space="0" w:color="auto"/>
              <w:right w:val="dashSmallGap" w:sz="4" w:space="0" w:color="auto"/>
            </w:tcBorders>
            <w:shd w:val="clear" w:color="auto" w:fill="EEECE1" w:themeFill="background2"/>
          </w:tcPr>
          <w:p w:rsidR="007A012C" w:rsidRPr="002F4F3B" w:rsidRDefault="007A012C" w:rsidP="00596DA8">
            <w:pPr>
              <w:pStyle w:val="B1"/>
            </w:pPr>
            <w:r w:rsidRPr="002F4F3B">
              <w:t>-</w:t>
            </w:r>
            <w:r w:rsidRPr="002F4F3B">
              <w:tab/>
              <w:t>if the SCell is deactivated:</w:t>
            </w:r>
          </w:p>
          <w:p w:rsidR="007A012C" w:rsidRPr="002F4F3B" w:rsidRDefault="007A012C" w:rsidP="00596DA8">
            <w:pPr>
              <w:pStyle w:val="B2"/>
            </w:pPr>
            <w:r w:rsidRPr="002F4F3B">
              <w:t>-</w:t>
            </w:r>
            <w:r w:rsidRPr="002F4F3B">
              <w:tab/>
              <w:t>not transmit SRS on the SCell;</w:t>
            </w:r>
          </w:p>
          <w:p w:rsidR="007A012C" w:rsidRPr="002F4F3B" w:rsidRDefault="007A012C" w:rsidP="00596DA8">
            <w:pPr>
              <w:pStyle w:val="B2"/>
            </w:pPr>
            <w:r w:rsidRPr="002F4F3B">
              <w:t>-</w:t>
            </w:r>
            <w:r w:rsidRPr="002F4F3B">
              <w:tab/>
              <w:t>not report CQI/PMI/RI/PTI for the SCell;</w:t>
            </w:r>
          </w:p>
          <w:p w:rsidR="007A012C" w:rsidRPr="002F4F3B" w:rsidRDefault="007A012C" w:rsidP="00596DA8">
            <w:pPr>
              <w:pStyle w:val="B2"/>
            </w:pPr>
            <w:r w:rsidRPr="002F4F3B">
              <w:t>-</w:t>
            </w:r>
            <w:r w:rsidRPr="002F4F3B">
              <w:tab/>
              <w:t xml:space="preserve">not transmit on UL-SCH on the SCell; </w:t>
            </w:r>
          </w:p>
          <w:p w:rsidR="007A012C" w:rsidRPr="002F4F3B" w:rsidRDefault="007A012C" w:rsidP="00596DA8">
            <w:pPr>
              <w:pStyle w:val="B2"/>
            </w:pPr>
            <w:r w:rsidRPr="002F4F3B">
              <w:t>-</w:t>
            </w:r>
            <w:r w:rsidRPr="002F4F3B">
              <w:tab/>
              <w:t>not transmit on RACH on the SCell;</w:t>
            </w:r>
          </w:p>
          <w:p w:rsidR="007A012C" w:rsidRPr="002F4F3B" w:rsidRDefault="007A012C" w:rsidP="00596DA8">
            <w:pPr>
              <w:pStyle w:val="B2"/>
            </w:pPr>
            <w:r w:rsidRPr="002F4F3B">
              <w:t>-</w:t>
            </w:r>
            <w:r w:rsidRPr="002F4F3B">
              <w:tab/>
              <w:t>not monitor the PDCCH on the SCell;</w:t>
            </w:r>
          </w:p>
          <w:p w:rsidR="007A012C" w:rsidRPr="0006430A" w:rsidRDefault="007A012C" w:rsidP="00596DA8">
            <w:pPr>
              <w:pStyle w:val="B2"/>
              <w:rPr>
                <w:rFonts w:eastAsiaTheme="minorEastAsia"/>
                <w:lang w:eastAsia="ko-KR"/>
              </w:rPr>
            </w:pPr>
            <w:r w:rsidRPr="002F4F3B">
              <w:t>-</w:t>
            </w:r>
            <w:r w:rsidRPr="002F4F3B">
              <w:tab/>
              <w:t>not monitor the PDCCH for the SCell.</w:t>
            </w:r>
          </w:p>
        </w:tc>
      </w:tr>
    </w:tbl>
    <w:p w:rsidR="007A012C" w:rsidRDefault="007A012C" w:rsidP="007A012C">
      <w:pPr>
        <w:rPr>
          <w:lang w:val="en-US" w:eastAsia="ko-KR"/>
        </w:rPr>
      </w:pPr>
    </w:p>
    <w:p w:rsidR="007A012C" w:rsidRDefault="007A012C" w:rsidP="007A012C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As the PUCCH SCell is also an SCell, it seems straightforward that above </w:t>
      </w:r>
      <w:r w:rsidR="006B5BBC">
        <w:rPr>
          <w:lang w:val="en-US" w:eastAsia="ko-KR"/>
        </w:rPr>
        <w:t>behaviour</w:t>
      </w:r>
      <w:r>
        <w:rPr>
          <w:rFonts w:hint="eastAsia"/>
          <w:lang w:val="en-US" w:eastAsia="ko-KR"/>
        </w:rPr>
        <w:t xml:space="preserve"> also apply to the deactivated PUCCH SCell. Regarding PUCCH transmission on deactivated PUCCH SCell, RAN2 has not discussed/decided yet whether to allow PUCCH transmission on the deactivated PUCCH SCell or not. </w:t>
      </w:r>
    </w:p>
    <w:p w:rsidR="007A012C" w:rsidRDefault="007A012C" w:rsidP="007A012C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Not allowing PUCCH transmission on the deactivated PUCCH SCell seems consistent in the </w:t>
      </w:r>
      <w:r>
        <w:rPr>
          <w:lang w:val="en-US" w:eastAsia="ko-KR"/>
        </w:rPr>
        <w:t>UE behavior</w:t>
      </w:r>
      <w:r>
        <w:rPr>
          <w:rFonts w:hint="eastAsia"/>
          <w:lang w:val="en-US" w:eastAsia="ko-KR"/>
        </w:rPr>
        <w:t xml:space="preserve"> on a deactivated SCell</w:t>
      </w:r>
      <w:r>
        <w:rPr>
          <w:lang w:val="en-US" w:eastAsia="ko-KR"/>
        </w:rPr>
        <w:t>.</w:t>
      </w:r>
      <w:r>
        <w:rPr>
          <w:rFonts w:hint="eastAsia"/>
          <w:lang w:val="en-US" w:eastAsia="ko-KR"/>
        </w:rPr>
        <w:t xml:space="preserve"> However, this makes a tight linkage between Activation/Deactivation of a PUCCH SCell and HARQ feedback transmission of the SCells in the PUCCH Group</w:t>
      </w:r>
      <w:r w:rsidR="00FE5DB1">
        <w:rPr>
          <w:rFonts w:hint="eastAsia"/>
          <w:lang w:val="en-US" w:eastAsia="ko-KR"/>
        </w:rPr>
        <w:t xml:space="preserve"> </w:t>
      </w:r>
      <w:r>
        <w:rPr>
          <w:rFonts w:hint="eastAsia"/>
          <w:lang w:val="en-US" w:eastAsia="ko-KR"/>
        </w:rPr>
        <w:t xml:space="preserve">although there seems not a </w:t>
      </w:r>
      <w:r w:rsidR="006D0B87">
        <w:rPr>
          <w:rFonts w:hint="eastAsia"/>
          <w:lang w:val="en-US" w:eastAsia="ko-KR"/>
        </w:rPr>
        <w:t>technical</w:t>
      </w:r>
      <w:r w:rsidR="002C157C">
        <w:rPr>
          <w:rFonts w:hint="eastAsia"/>
          <w:lang w:val="en-US" w:eastAsia="ko-KR"/>
        </w:rPr>
        <w:t xml:space="preserve"> relationship between Activation/Deactivation status of a cell and HARQ feedback transmission</w:t>
      </w:r>
      <w:r w:rsidR="007D66C3">
        <w:rPr>
          <w:rFonts w:hint="eastAsia"/>
          <w:lang w:val="en-US" w:eastAsia="ko-KR"/>
        </w:rPr>
        <w:t>.</w:t>
      </w:r>
    </w:p>
    <w:p w:rsidR="007A012C" w:rsidRDefault="007A012C" w:rsidP="007A012C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Allowing PUCCH transmission even on the deactivated PUCCH SCell may be considered to be inconsistent in the </w:t>
      </w:r>
      <w:r>
        <w:rPr>
          <w:lang w:val="en-US" w:eastAsia="ko-KR"/>
        </w:rPr>
        <w:t>UE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>behavior</w:t>
      </w:r>
      <w:r>
        <w:rPr>
          <w:rFonts w:hint="eastAsia"/>
          <w:lang w:val="en-US" w:eastAsia="ko-KR"/>
        </w:rPr>
        <w:t xml:space="preserve"> on a deactivated SCell. However, by allowing the PUCCH transmission even on the deactivated SCell, the PUCCH SCell status can be managed </w:t>
      </w:r>
      <w:r w:rsidRPr="005E3A7C">
        <w:rPr>
          <w:rFonts w:hint="eastAsia"/>
          <w:i/>
          <w:lang w:val="en-US" w:eastAsia="ko-KR"/>
        </w:rPr>
        <w:t>independently</w:t>
      </w:r>
      <w:r>
        <w:rPr>
          <w:rFonts w:hint="eastAsia"/>
          <w:lang w:val="en-US" w:eastAsia="ko-KR"/>
        </w:rPr>
        <w:t xml:space="preserve"> in accordance with the traffic on the PUCCH SCell, which is the </w:t>
      </w:r>
      <w:r>
        <w:rPr>
          <w:rFonts w:hint="eastAsia"/>
          <w:lang w:val="en-US" w:eastAsia="ko-KR"/>
        </w:rPr>
        <w:lastRenderedPageBreak/>
        <w:t xml:space="preserve">current principle of SCell Activation/Deactivation status control. In addition, the PUCCH transmission </w:t>
      </w:r>
      <w:r w:rsidR="00674B4B">
        <w:rPr>
          <w:rFonts w:hint="eastAsia"/>
          <w:lang w:val="en-US" w:eastAsia="ko-KR"/>
        </w:rPr>
        <w:t xml:space="preserve">for the SCells </w:t>
      </w:r>
      <w:r>
        <w:rPr>
          <w:rFonts w:hint="eastAsia"/>
          <w:lang w:val="en-US" w:eastAsia="ko-KR"/>
        </w:rPr>
        <w:t>is ensured regardless of the PUCCH SCell status, which is obviously beneficial from constant HARQ feedback transmission point of view</w:t>
      </w:r>
      <w:r w:rsidR="00B670DB">
        <w:rPr>
          <w:rFonts w:hint="eastAsia"/>
          <w:lang w:val="en-US" w:eastAsia="ko-KR"/>
        </w:rPr>
        <w:t xml:space="preserve"> and also reduces the network</w:t>
      </w:r>
      <w:r w:rsidR="00B670DB">
        <w:rPr>
          <w:lang w:val="en-US" w:eastAsia="ko-KR"/>
        </w:rPr>
        <w:t>’</w:t>
      </w:r>
      <w:r w:rsidR="00B670DB">
        <w:rPr>
          <w:rFonts w:hint="eastAsia"/>
          <w:lang w:val="en-US" w:eastAsia="ko-KR"/>
        </w:rPr>
        <w:t>s complexity</w:t>
      </w:r>
      <w:r>
        <w:rPr>
          <w:rFonts w:hint="eastAsia"/>
          <w:lang w:val="en-US" w:eastAsia="ko-KR"/>
        </w:rPr>
        <w:t>.</w:t>
      </w:r>
    </w:p>
    <w:p w:rsidR="007A012C" w:rsidRDefault="007A012C" w:rsidP="009B0A28">
      <w:pPr>
        <w:rPr>
          <w:lang w:val="en-US" w:eastAsia="ko-KR"/>
        </w:rPr>
      </w:pPr>
      <w:r>
        <w:rPr>
          <w:rFonts w:hint="eastAsia"/>
          <w:lang w:val="en-US" w:eastAsia="ko-KR"/>
        </w:rPr>
        <w:t>T</w:t>
      </w:r>
      <w:r>
        <w:rPr>
          <w:lang w:val="en-US" w:eastAsia="ko-KR"/>
        </w:rPr>
        <w:t>h</w:t>
      </w:r>
      <w:r>
        <w:rPr>
          <w:rFonts w:hint="eastAsia"/>
          <w:lang w:val="en-US" w:eastAsia="ko-KR"/>
        </w:rPr>
        <w:t xml:space="preserve">erefore, we propose that PUCCH transmission is not impacted by Activated/Deactivated status of the PUCCH SCell. </w:t>
      </w:r>
      <w:r w:rsidR="003C5412">
        <w:rPr>
          <w:rFonts w:hint="eastAsia"/>
          <w:lang w:val="en-US" w:eastAsia="ko-KR"/>
        </w:rPr>
        <w:t>As a result, if the PUCCH SCell becomes deactivated from activated status, the PUCCH transmission shall not be prohibited.</w:t>
      </w:r>
      <w:r w:rsidR="005827CC">
        <w:rPr>
          <w:rFonts w:hint="eastAsia"/>
          <w:lang w:val="en-US" w:eastAsia="ko-KR"/>
        </w:rPr>
        <w:t xml:space="preserve"> </w:t>
      </w:r>
      <w:r w:rsidR="00674B4B">
        <w:rPr>
          <w:rFonts w:hint="eastAsia"/>
          <w:lang w:val="en-US" w:eastAsia="ko-KR"/>
        </w:rPr>
        <w:t>Also</w:t>
      </w:r>
      <w:r w:rsidR="005827CC">
        <w:rPr>
          <w:rFonts w:hint="eastAsia"/>
          <w:lang w:val="en-US" w:eastAsia="ko-KR"/>
        </w:rPr>
        <w:t>, RAN2 don</w:t>
      </w:r>
      <w:r w:rsidR="005827CC">
        <w:rPr>
          <w:lang w:val="en-US" w:eastAsia="ko-KR"/>
        </w:rPr>
        <w:t>’</w:t>
      </w:r>
      <w:r w:rsidR="005827CC">
        <w:rPr>
          <w:rFonts w:hint="eastAsia"/>
          <w:lang w:val="en-US" w:eastAsia="ko-KR"/>
        </w:rPr>
        <w:t xml:space="preserve">t need to discuss, e.g., whether to </w:t>
      </w:r>
      <w:r w:rsidR="00AF282A">
        <w:rPr>
          <w:rFonts w:hint="eastAsia"/>
          <w:lang w:val="en-US" w:eastAsia="ko-KR"/>
        </w:rPr>
        <w:t>apply</w:t>
      </w:r>
      <w:r w:rsidR="005827CC">
        <w:rPr>
          <w:rFonts w:hint="eastAsia"/>
          <w:lang w:val="en-US" w:eastAsia="ko-KR"/>
        </w:rPr>
        <w:t xml:space="preserve"> sCellDeactivationTimer for the PUCCH SCell</w:t>
      </w:r>
      <w:r w:rsidR="00AF282A">
        <w:rPr>
          <w:rFonts w:hint="eastAsia"/>
          <w:lang w:val="en-US" w:eastAsia="ko-KR"/>
        </w:rPr>
        <w:t xml:space="preserve"> or not</w:t>
      </w:r>
      <w:r w:rsidR="00EB6A4C">
        <w:rPr>
          <w:rFonts w:hint="eastAsia"/>
          <w:lang w:val="en-US" w:eastAsia="ko-KR"/>
        </w:rPr>
        <w:t xml:space="preserve"> in order to ensure PUCCH transmission in a PUCCH Group</w:t>
      </w:r>
      <w:r w:rsidR="005827CC">
        <w:rPr>
          <w:rFonts w:hint="eastAsia"/>
          <w:lang w:val="en-US" w:eastAsia="ko-KR"/>
        </w:rPr>
        <w:t>.</w:t>
      </w:r>
    </w:p>
    <w:p w:rsidR="007A012C" w:rsidRPr="001E5F9E" w:rsidRDefault="007F6D5C" w:rsidP="007A012C">
      <w:pPr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Proposal:</w:t>
      </w:r>
      <w:r w:rsidR="007A012C" w:rsidRPr="001E5F9E">
        <w:rPr>
          <w:rFonts w:hint="eastAsia"/>
          <w:b/>
          <w:lang w:val="en-US" w:eastAsia="ko-KR"/>
        </w:rPr>
        <w:t xml:space="preserve"> PUCCH transmission </w:t>
      </w:r>
      <w:r w:rsidR="00F27CF9" w:rsidRPr="001E5F9E">
        <w:rPr>
          <w:rFonts w:hint="eastAsia"/>
          <w:b/>
          <w:lang w:val="en-US" w:eastAsia="ko-KR"/>
        </w:rPr>
        <w:t>is allowed</w:t>
      </w:r>
      <w:r w:rsidR="007A012C" w:rsidRPr="001E5F9E">
        <w:rPr>
          <w:rFonts w:hint="eastAsia"/>
          <w:b/>
          <w:lang w:val="en-US" w:eastAsia="ko-KR"/>
        </w:rPr>
        <w:t xml:space="preserve"> on the deactivated PUCCH SCell. </w:t>
      </w:r>
    </w:p>
    <w:p w:rsidR="009B0A28" w:rsidRDefault="009B0A28" w:rsidP="009B0A28">
      <w:pPr>
        <w:rPr>
          <w:lang w:val="en-US" w:eastAsia="ko-KR"/>
        </w:rPr>
      </w:pPr>
      <w:r w:rsidRPr="001E5F9E">
        <w:rPr>
          <w:rFonts w:hint="eastAsia"/>
          <w:lang w:val="en-US" w:eastAsia="ko-KR"/>
        </w:rPr>
        <w:t>Note that</w:t>
      </w:r>
      <w:r w:rsidR="007F6D5C">
        <w:rPr>
          <w:rFonts w:hint="eastAsia"/>
          <w:lang w:val="en-US" w:eastAsia="ko-KR"/>
        </w:rPr>
        <w:t xml:space="preserve"> with the Proposal</w:t>
      </w:r>
      <w:r w:rsidRPr="001E5F9E">
        <w:rPr>
          <w:rFonts w:hint="eastAsia"/>
          <w:lang w:val="en-US" w:eastAsia="ko-KR"/>
        </w:rPr>
        <w:t>, the agreement 7a of the last meeting is still valid, e.g., when PUCCH is configured on a deactivated SCell</w:t>
      </w:r>
      <w:r w:rsidR="003C5412" w:rsidRPr="001E5F9E">
        <w:rPr>
          <w:rFonts w:hint="eastAsia"/>
          <w:lang w:val="en-US" w:eastAsia="ko-KR"/>
        </w:rPr>
        <w:t>, where</w:t>
      </w:r>
      <w:r w:rsidRPr="001E5F9E">
        <w:rPr>
          <w:rFonts w:hint="eastAsia"/>
          <w:lang w:val="en-US" w:eastAsia="ko-KR"/>
        </w:rPr>
        <w:t xml:space="preserve"> the </w:t>
      </w:r>
      <w:r w:rsidRPr="001E5F9E">
        <w:rPr>
          <w:lang w:val="en-US" w:eastAsia="ko-KR"/>
        </w:rPr>
        <w:t>eNB</w:t>
      </w:r>
      <w:r w:rsidRPr="001E5F9E">
        <w:rPr>
          <w:rFonts w:hint="eastAsia"/>
          <w:lang w:val="en-US" w:eastAsia="ko-KR"/>
        </w:rPr>
        <w:t xml:space="preserve"> has to deactivate the SCells in the PUCCH Group properly. In this sense, it could be further discussed when to start to use the PUCCH SCell for PUCCH transmission</w:t>
      </w:r>
      <w:r w:rsidR="009F372A" w:rsidRPr="001E5F9E">
        <w:rPr>
          <w:rFonts w:hint="eastAsia"/>
          <w:lang w:val="en-US" w:eastAsia="ko-KR"/>
        </w:rPr>
        <w:t xml:space="preserve"> if PUCCH is configured to a deactivated </w:t>
      </w:r>
      <w:r w:rsidRPr="001E5F9E">
        <w:rPr>
          <w:rFonts w:hint="eastAsia"/>
          <w:lang w:val="en-US" w:eastAsia="ko-KR"/>
        </w:rPr>
        <w:t>SCell.</w:t>
      </w:r>
    </w:p>
    <w:p w:rsidR="002D6D92" w:rsidRPr="00992CE4" w:rsidRDefault="002D6D92" w:rsidP="00AC1F71">
      <w:pPr>
        <w:rPr>
          <w:b/>
          <w:lang w:val="en-US" w:eastAsia="ko-KR"/>
        </w:rPr>
      </w:pPr>
    </w:p>
    <w:p w:rsidR="002D6D92" w:rsidRDefault="000D295C" w:rsidP="002D6D92">
      <w:pPr>
        <w:pStyle w:val="Heading1"/>
        <w:rPr>
          <w:lang w:val="en-US" w:eastAsia="ko-KR"/>
        </w:rPr>
      </w:pPr>
      <w:r>
        <w:rPr>
          <w:rFonts w:hint="eastAsia"/>
          <w:lang w:val="en-US" w:eastAsia="ko-KR"/>
        </w:rPr>
        <w:t>3</w:t>
      </w:r>
      <w:r w:rsidR="002D6D92">
        <w:rPr>
          <w:lang w:val="en-US"/>
        </w:rPr>
        <w:t>.</w:t>
      </w:r>
      <w:r w:rsidR="002D6D92">
        <w:rPr>
          <w:lang w:val="en-US"/>
        </w:rPr>
        <w:tab/>
      </w:r>
      <w:r w:rsidR="002D6D92">
        <w:rPr>
          <w:rFonts w:hint="eastAsia"/>
          <w:lang w:val="en-US" w:eastAsia="ko-KR"/>
        </w:rPr>
        <w:t>Conclusion</w:t>
      </w:r>
    </w:p>
    <w:p w:rsidR="002D6D92" w:rsidRDefault="002D6D92" w:rsidP="002D6D92">
      <w:pPr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we discussed </w:t>
      </w:r>
      <w:r>
        <w:rPr>
          <w:lang w:val="en-US" w:eastAsia="ko-KR"/>
        </w:rPr>
        <w:t>UE</w:t>
      </w:r>
      <w:r>
        <w:rPr>
          <w:rFonts w:hint="eastAsia"/>
          <w:lang w:val="en-US" w:eastAsia="ko-KR"/>
        </w:rPr>
        <w:t xml:space="preserve"> </w:t>
      </w:r>
      <w:r>
        <w:rPr>
          <w:lang w:val="en-US" w:eastAsia="ko-KR"/>
        </w:rPr>
        <w:t xml:space="preserve">behaviour </w:t>
      </w:r>
      <w:r w:rsidR="00840A73">
        <w:rPr>
          <w:rFonts w:hint="eastAsia"/>
          <w:lang w:val="en-US" w:eastAsia="ko-KR"/>
        </w:rPr>
        <w:t>on a deactivated PUCCH SCell and ha</w:t>
      </w:r>
      <w:r w:rsidR="007F6D5C">
        <w:rPr>
          <w:rFonts w:hint="eastAsia"/>
          <w:lang w:val="en-US" w:eastAsia="ko-KR"/>
        </w:rPr>
        <w:t>ve</w:t>
      </w:r>
      <w:r w:rsidR="00840A73">
        <w:rPr>
          <w:rFonts w:hint="eastAsia"/>
          <w:lang w:val="en-US" w:eastAsia="ko-KR"/>
        </w:rPr>
        <w:t xml:space="preserve"> proposed:</w:t>
      </w:r>
    </w:p>
    <w:p w:rsidR="007F6D5C" w:rsidRDefault="007F6D5C" w:rsidP="007F6D5C">
      <w:pPr>
        <w:rPr>
          <w:b/>
          <w:lang w:val="en-US" w:eastAsia="ko-KR"/>
        </w:rPr>
      </w:pPr>
      <w:r>
        <w:rPr>
          <w:rFonts w:hint="eastAsia"/>
          <w:b/>
          <w:lang w:val="en-US" w:eastAsia="ko-KR"/>
        </w:rPr>
        <w:t>Proposal:</w:t>
      </w:r>
      <w:r w:rsidRPr="001E5F9E">
        <w:rPr>
          <w:rFonts w:hint="eastAsia"/>
          <w:b/>
          <w:lang w:val="en-US" w:eastAsia="ko-KR"/>
        </w:rPr>
        <w:t xml:space="preserve"> PUCCH transmission is allowed on the deactivated PUCCH SCell. </w:t>
      </w:r>
    </w:p>
    <w:p w:rsidR="009F6FD3" w:rsidRDefault="009F6FD3" w:rsidP="007F6D5C">
      <w:pPr>
        <w:rPr>
          <w:b/>
          <w:lang w:val="en-US" w:eastAsia="ko-KR"/>
        </w:rPr>
      </w:pPr>
    </w:p>
    <w:p w:rsidR="009F6FD3" w:rsidRDefault="009F6FD3" w:rsidP="009F6FD3">
      <w:pPr>
        <w:pStyle w:val="Heading1"/>
        <w:rPr>
          <w:lang w:val="en-US" w:eastAsia="ko-KR"/>
        </w:rPr>
      </w:pPr>
      <w:r>
        <w:rPr>
          <w:rFonts w:hint="eastAsia"/>
          <w:lang w:val="en-US" w:eastAsia="ko-KR"/>
        </w:rPr>
        <w:t>4</w:t>
      </w:r>
      <w:r>
        <w:rPr>
          <w:lang w:val="en-US"/>
        </w:rPr>
        <w:t>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Reference</w:t>
      </w:r>
    </w:p>
    <w:p w:rsidR="009F6FD3" w:rsidRDefault="009F6FD3" w:rsidP="009F6FD3">
      <w:pPr>
        <w:rPr>
          <w:lang w:eastAsia="ko-KR"/>
        </w:rPr>
      </w:pPr>
      <w:r>
        <w:rPr>
          <w:rFonts w:hint="eastAsia"/>
          <w:lang w:val="en-US" w:eastAsia="ko-KR"/>
        </w:rPr>
        <w:t xml:space="preserve">[1] </w:t>
      </w:r>
      <w:r>
        <w:rPr>
          <w:rFonts w:hint="eastAsia"/>
          <w:lang w:eastAsia="ko-KR"/>
        </w:rPr>
        <w:t xml:space="preserve">RP-142286, </w:t>
      </w:r>
      <w:r>
        <w:rPr>
          <w:rFonts w:hint="eastAsia"/>
          <w:lang w:val="en-US" w:eastAsia="ko-KR"/>
        </w:rPr>
        <w:t xml:space="preserve">Work Item on </w:t>
      </w:r>
      <w:r>
        <w:t xml:space="preserve">LTE </w:t>
      </w:r>
      <w:r>
        <w:rPr>
          <w:lang w:eastAsia="zh-CN"/>
        </w:rPr>
        <w:t>Carrier Aggregation Enhancement Beyond 5 Carriers</w:t>
      </w:r>
    </w:p>
    <w:p w:rsidR="009F6FD3" w:rsidRDefault="009F6FD3" w:rsidP="009F6FD3">
      <w:pPr>
        <w:rPr>
          <w:lang w:val="en-US" w:eastAsia="ko-KR"/>
        </w:rPr>
      </w:pPr>
      <w:r>
        <w:rPr>
          <w:rFonts w:hint="eastAsia"/>
          <w:lang w:val="en-US" w:eastAsia="ko-KR"/>
        </w:rPr>
        <w:t>[2] RAN2 #89 meeting Chairman note</w:t>
      </w:r>
    </w:p>
    <w:p w:rsidR="009F6FD3" w:rsidRPr="009F6FD3" w:rsidRDefault="009F6FD3" w:rsidP="007F6D5C">
      <w:pPr>
        <w:rPr>
          <w:b/>
          <w:lang w:val="en-US" w:eastAsia="ko-KR"/>
        </w:rPr>
      </w:pPr>
    </w:p>
    <w:p w:rsidR="00840A73" w:rsidRPr="007F6D5C" w:rsidRDefault="00840A73" w:rsidP="002D6D92">
      <w:pPr>
        <w:rPr>
          <w:lang w:val="en-US" w:eastAsia="ko-KR"/>
        </w:rPr>
      </w:pPr>
    </w:p>
    <w:p w:rsidR="00DB1DFF" w:rsidRPr="002D6D92" w:rsidRDefault="00DB1DFF" w:rsidP="00CE4949">
      <w:pPr>
        <w:rPr>
          <w:lang w:val="en-US" w:eastAsia="ko-KR"/>
        </w:rPr>
      </w:pPr>
    </w:p>
    <w:sectPr w:rsidR="00DB1DFF" w:rsidRPr="002D6D92">
      <w:footerReference w:type="even" r:id="rId7"/>
      <w:footerReference w:type="default" r:id="rId8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0D8E" w:rsidRDefault="001A0D8E">
      <w:pPr>
        <w:spacing w:after="0"/>
      </w:pPr>
      <w:r>
        <w:separator/>
      </w:r>
    </w:p>
  </w:endnote>
  <w:endnote w:type="continuationSeparator" w:id="0">
    <w:p w:rsidR="001A0D8E" w:rsidRDefault="001A0D8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512" w:rsidRDefault="006B14D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:rsidR="00210512" w:rsidRDefault="001A0D8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0512" w:rsidRDefault="006B14DF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CB78B1">
      <w:rPr>
        <w:rStyle w:val="PageNumber"/>
      </w:rPr>
      <w:t>2</w:t>
    </w:r>
    <w:r>
      <w:rPr>
        <w:rStyle w:val="PageNumber"/>
      </w:rPr>
      <w:fldChar w:fldCharType="end"/>
    </w:r>
  </w:p>
  <w:p w:rsidR="00210512" w:rsidRDefault="001A0D8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0D8E" w:rsidRDefault="001A0D8E">
      <w:pPr>
        <w:spacing w:after="0"/>
      </w:pPr>
      <w:r>
        <w:separator/>
      </w:r>
    </w:p>
  </w:footnote>
  <w:footnote w:type="continuationSeparator" w:id="0">
    <w:p w:rsidR="001A0D8E" w:rsidRDefault="001A0D8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05365D"/>
    <w:multiLevelType w:val="hybridMultilevel"/>
    <w:tmpl w:val="D8E44AF8"/>
    <w:lvl w:ilvl="0" w:tplc="EECCBD40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037E1F9C"/>
    <w:multiLevelType w:val="hybridMultilevel"/>
    <w:tmpl w:val="A0C64C4C"/>
    <w:lvl w:ilvl="0" w:tplc="72442D14">
      <w:numFmt w:val="bullet"/>
      <w:lvlText w:val="-"/>
      <w:lvlJc w:val="left"/>
      <w:pPr>
        <w:ind w:left="11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2">
    <w:nsid w:val="0AF21CEE"/>
    <w:multiLevelType w:val="hybridMultilevel"/>
    <w:tmpl w:val="9C340680"/>
    <w:lvl w:ilvl="0" w:tplc="53B0E98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">
    <w:nsid w:val="0E5C08D7"/>
    <w:multiLevelType w:val="hybridMultilevel"/>
    <w:tmpl w:val="13F4E68C"/>
    <w:lvl w:ilvl="0" w:tplc="A79C9E86"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0B63913"/>
    <w:multiLevelType w:val="hybridMultilevel"/>
    <w:tmpl w:val="854EA93A"/>
    <w:lvl w:ilvl="0" w:tplc="D6F6436A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27F7688F"/>
    <w:multiLevelType w:val="hybridMultilevel"/>
    <w:tmpl w:val="04B00C04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3BD4A296">
      <w:start w:val="5"/>
      <w:numFmt w:val="bullet"/>
      <w:lvlText w:val="-"/>
      <w:lvlJc w:val="left"/>
      <w:pPr>
        <w:ind w:left="1200" w:hanging="40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2F19163B"/>
    <w:multiLevelType w:val="hybridMultilevel"/>
    <w:tmpl w:val="14CAE7BE"/>
    <w:lvl w:ilvl="0" w:tplc="0602ED74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324E059D"/>
    <w:multiLevelType w:val="hybridMultilevel"/>
    <w:tmpl w:val="CEF62D7A"/>
    <w:lvl w:ilvl="0" w:tplc="2CD0AD2A">
      <w:start w:val="1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336E4E8A"/>
    <w:multiLevelType w:val="hybridMultilevel"/>
    <w:tmpl w:val="B21EC57E"/>
    <w:lvl w:ilvl="0" w:tplc="28EA1A1A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9">
    <w:nsid w:val="37894360"/>
    <w:multiLevelType w:val="hybridMultilevel"/>
    <w:tmpl w:val="FC36465A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D557B01"/>
    <w:multiLevelType w:val="hybridMultilevel"/>
    <w:tmpl w:val="949A5B8E"/>
    <w:lvl w:ilvl="0" w:tplc="0FB4B7BE">
      <w:start w:val="2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5142264F"/>
    <w:multiLevelType w:val="hybridMultilevel"/>
    <w:tmpl w:val="73BA2040"/>
    <w:lvl w:ilvl="0" w:tplc="5552A86A">
      <w:start w:val="5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79917E2C"/>
    <w:multiLevelType w:val="hybridMultilevel"/>
    <w:tmpl w:val="33A0E21E"/>
    <w:lvl w:ilvl="0" w:tplc="5BE25C24">
      <w:start w:val="5"/>
      <w:numFmt w:val="bullet"/>
      <w:lvlText w:val="-"/>
      <w:lvlJc w:val="left"/>
      <w:pPr>
        <w:ind w:left="760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F355C89"/>
    <w:multiLevelType w:val="hybridMultilevel"/>
    <w:tmpl w:val="8F46D700"/>
    <w:lvl w:ilvl="0" w:tplc="5FFE1272">
      <w:start w:val="6"/>
      <w:numFmt w:val="bullet"/>
      <w:lvlText w:val="-"/>
      <w:lvlJc w:val="left"/>
      <w:pPr>
        <w:ind w:left="800" w:hanging="40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6"/>
  </w:num>
  <w:num w:numId="2">
    <w:abstractNumId w:val="0"/>
  </w:num>
  <w:num w:numId="3">
    <w:abstractNumId w:val="12"/>
  </w:num>
  <w:num w:numId="4">
    <w:abstractNumId w:val="11"/>
  </w:num>
  <w:num w:numId="5">
    <w:abstractNumId w:val="4"/>
  </w:num>
  <w:num w:numId="6">
    <w:abstractNumId w:val="2"/>
  </w:num>
  <w:num w:numId="7">
    <w:abstractNumId w:val="1"/>
  </w:num>
  <w:num w:numId="8">
    <w:abstractNumId w:val="8"/>
  </w:num>
  <w:num w:numId="9">
    <w:abstractNumId w:val="13"/>
  </w:num>
  <w:num w:numId="10">
    <w:abstractNumId w:val="3"/>
  </w:num>
  <w:num w:numId="11">
    <w:abstractNumId w:val="9"/>
  </w:num>
  <w:num w:numId="12">
    <w:abstractNumId w:val="10"/>
  </w:num>
  <w:num w:numId="13">
    <w:abstractNumId w:val="7"/>
  </w:num>
  <w:num w:numId="14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687D"/>
    <w:rsid w:val="0000087B"/>
    <w:rsid w:val="00001608"/>
    <w:rsid w:val="00002BB8"/>
    <w:rsid w:val="000030A8"/>
    <w:rsid w:val="00006AF1"/>
    <w:rsid w:val="00021997"/>
    <w:rsid w:val="000243C8"/>
    <w:rsid w:val="00030976"/>
    <w:rsid w:val="000316B9"/>
    <w:rsid w:val="00037218"/>
    <w:rsid w:val="000412FF"/>
    <w:rsid w:val="00045BF6"/>
    <w:rsid w:val="00045D88"/>
    <w:rsid w:val="00051638"/>
    <w:rsid w:val="00057949"/>
    <w:rsid w:val="00060A94"/>
    <w:rsid w:val="000630F2"/>
    <w:rsid w:val="00063FE5"/>
    <w:rsid w:val="0006430A"/>
    <w:rsid w:val="000669F9"/>
    <w:rsid w:val="0009085A"/>
    <w:rsid w:val="00092DA6"/>
    <w:rsid w:val="00095D2D"/>
    <w:rsid w:val="00095ED0"/>
    <w:rsid w:val="000A36BE"/>
    <w:rsid w:val="000A6EB4"/>
    <w:rsid w:val="000B1973"/>
    <w:rsid w:val="000B44CB"/>
    <w:rsid w:val="000B51AA"/>
    <w:rsid w:val="000B54AD"/>
    <w:rsid w:val="000C1F3E"/>
    <w:rsid w:val="000C57B2"/>
    <w:rsid w:val="000C5B97"/>
    <w:rsid w:val="000C6778"/>
    <w:rsid w:val="000D295C"/>
    <w:rsid w:val="000F5BAB"/>
    <w:rsid w:val="00102128"/>
    <w:rsid w:val="001141D6"/>
    <w:rsid w:val="0011625A"/>
    <w:rsid w:val="00123651"/>
    <w:rsid w:val="0012675F"/>
    <w:rsid w:val="001325E5"/>
    <w:rsid w:val="00134BF2"/>
    <w:rsid w:val="0013687D"/>
    <w:rsid w:val="00142D42"/>
    <w:rsid w:val="00145768"/>
    <w:rsid w:val="00155035"/>
    <w:rsid w:val="0016000F"/>
    <w:rsid w:val="00175B5E"/>
    <w:rsid w:val="00180176"/>
    <w:rsid w:val="00181233"/>
    <w:rsid w:val="00183E91"/>
    <w:rsid w:val="00185AA5"/>
    <w:rsid w:val="00185F32"/>
    <w:rsid w:val="00190BB8"/>
    <w:rsid w:val="00194F2E"/>
    <w:rsid w:val="00196AEC"/>
    <w:rsid w:val="0019714D"/>
    <w:rsid w:val="001A0D8E"/>
    <w:rsid w:val="001A1173"/>
    <w:rsid w:val="001A34EC"/>
    <w:rsid w:val="001A3837"/>
    <w:rsid w:val="001B24D4"/>
    <w:rsid w:val="001B4C03"/>
    <w:rsid w:val="001C0D2C"/>
    <w:rsid w:val="001D321E"/>
    <w:rsid w:val="001D340E"/>
    <w:rsid w:val="001D3C5B"/>
    <w:rsid w:val="001D6538"/>
    <w:rsid w:val="001D7CDB"/>
    <w:rsid w:val="001E0E22"/>
    <w:rsid w:val="001E2292"/>
    <w:rsid w:val="001E426A"/>
    <w:rsid w:val="001E5F9E"/>
    <w:rsid w:val="001E7942"/>
    <w:rsid w:val="001F244F"/>
    <w:rsid w:val="001F27FD"/>
    <w:rsid w:val="00203D57"/>
    <w:rsid w:val="002143BA"/>
    <w:rsid w:val="00215190"/>
    <w:rsid w:val="00215D97"/>
    <w:rsid w:val="002201E3"/>
    <w:rsid w:val="00224CA2"/>
    <w:rsid w:val="002275B3"/>
    <w:rsid w:val="00233DC1"/>
    <w:rsid w:val="002370FA"/>
    <w:rsid w:val="00240EF2"/>
    <w:rsid w:val="00245852"/>
    <w:rsid w:val="002536D3"/>
    <w:rsid w:val="002761EF"/>
    <w:rsid w:val="002775FD"/>
    <w:rsid w:val="00283535"/>
    <w:rsid w:val="002853D1"/>
    <w:rsid w:val="00297C52"/>
    <w:rsid w:val="002A0548"/>
    <w:rsid w:val="002A5CA9"/>
    <w:rsid w:val="002B72EC"/>
    <w:rsid w:val="002C157C"/>
    <w:rsid w:val="002D195F"/>
    <w:rsid w:val="002D2D94"/>
    <w:rsid w:val="002D6D92"/>
    <w:rsid w:val="002E2163"/>
    <w:rsid w:val="002F13C9"/>
    <w:rsid w:val="00300787"/>
    <w:rsid w:val="00300EB2"/>
    <w:rsid w:val="00310647"/>
    <w:rsid w:val="00314785"/>
    <w:rsid w:val="00321397"/>
    <w:rsid w:val="0032315B"/>
    <w:rsid w:val="00326CA0"/>
    <w:rsid w:val="003328B1"/>
    <w:rsid w:val="00342405"/>
    <w:rsid w:val="00343C8F"/>
    <w:rsid w:val="00352645"/>
    <w:rsid w:val="00361B65"/>
    <w:rsid w:val="00361E2C"/>
    <w:rsid w:val="003765F8"/>
    <w:rsid w:val="00393F35"/>
    <w:rsid w:val="003A1EDE"/>
    <w:rsid w:val="003C4BB8"/>
    <w:rsid w:val="003C5412"/>
    <w:rsid w:val="003D2CF1"/>
    <w:rsid w:val="003E763F"/>
    <w:rsid w:val="003F1428"/>
    <w:rsid w:val="003F4C71"/>
    <w:rsid w:val="003F6563"/>
    <w:rsid w:val="003F6BAB"/>
    <w:rsid w:val="004026CF"/>
    <w:rsid w:val="00404342"/>
    <w:rsid w:val="00404B0B"/>
    <w:rsid w:val="00421BD2"/>
    <w:rsid w:val="004252D0"/>
    <w:rsid w:val="004273D7"/>
    <w:rsid w:val="00440EE6"/>
    <w:rsid w:val="00443A0F"/>
    <w:rsid w:val="00444BC1"/>
    <w:rsid w:val="00455B54"/>
    <w:rsid w:val="00456982"/>
    <w:rsid w:val="004619D1"/>
    <w:rsid w:val="0046452E"/>
    <w:rsid w:val="00464CBC"/>
    <w:rsid w:val="00466274"/>
    <w:rsid w:val="00472C7A"/>
    <w:rsid w:val="00474A3C"/>
    <w:rsid w:val="00477142"/>
    <w:rsid w:val="0048005E"/>
    <w:rsid w:val="0049297A"/>
    <w:rsid w:val="00493D0C"/>
    <w:rsid w:val="00494320"/>
    <w:rsid w:val="004A29BE"/>
    <w:rsid w:val="004B2C70"/>
    <w:rsid w:val="004B2CCE"/>
    <w:rsid w:val="004B568B"/>
    <w:rsid w:val="004B7AAA"/>
    <w:rsid w:val="004C1468"/>
    <w:rsid w:val="004C5DBA"/>
    <w:rsid w:val="004D2852"/>
    <w:rsid w:val="004D3CE9"/>
    <w:rsid w:val="004E33C8"/>
    <w:rsid w:val="004E3694"/>
    <w:rsid w:val="004E6E56"/>
    <w:rsid w:val="004E704B"/>
    <w:rsid w:val="004F5DC6"/>
    <w:rsid w:val="00504C5C"/>
    <w:rsid w:val="0050669A"/>
    <w:rsid w:val="0051116A"/>
    <w:rsid w:val="00513578"/>
    <w:rsid w:val="00527842"/>
    <w:rsid w:val="0053010F"/>
    <w:rsid w:val="00530463"/>
    <w:rsid w:val="0053228F"/>
    <w:rsid w:val="00534BE8"/>
    <w:rsid w:val="005353DB"/>
    <w:rsid w:val="005358A4"/>
    <w:rsid w:val="00537315"/>
    <w:rsid w:val="00540089"/>
    <w:rsid w:val="00542CC2"/>
    <w:rsid w:val="00551ACD"/>
    <w:rsid w:val="005827CC"/>
    <w:rsid w:val="00582BFF"/>
    <w:rsid w:val="00585441"/>
    <w:rsid w:val="0059003D"/>
    <w:rsid w:val="005915D7"/>
    <w:rsid w:val="00594E4A"/>
    <w:rsid w:val="00594FD9"/>
    <w:rsid w:val="00597E69"/>
    <w:rsid w:val="005A089D"/>
    <w:rsid w:val="005A3B41"/>
    <w:rsid w:val="005A5ED1"/>
    <w:rsid w:val="005A6FD5"/>
    <w:rsid w:val="005B161B"/>
    <w:rsid w:val="005B1E63"/>
    <w:rsid w:val="005B35BC"/>
    <w:rsid w:val="005B42A7"/>
    <w:rsid w:val="005B5614"/>
    <w:rsid w:val="005C3160"/>
    <w:rsid w:val="005C32A4"/>
    <w:rsid w:val="005C4F97"/>
    <w:rsid w:val="005D0053"/>
    <w:rsid w:val="005D1579"/>
    <w:rsid w:val="005D2904"/>
    <w:rsid w:val="005E008C"/>
    <w:rsid w:val="005E3A7C"/>
    <w:rsid w:val="005F502F"/>
    <w:rsid w:val="005F5F74"/>
    <w:rsid w:val="00616F62"/>
    <w:rsid w:val="00617AA3"/>
    <w:rsid w:val="006200E9"/>
    <w:rsid w:val="00622D7C"/>
    <w:rsid w:val="006252B4"/>
    <w:rsid w:val="00634CD3"/>
    <w:rsid w:val="0063658E"/>
    <w:rsid w:val="006407FA"/>
    <w:rsid w:val="006447A0"/>
    <w:rsid w:val="00647DCD"/>
    <w:rsid w:val="00653062"/>
    <w:rsid w:val="00667461"/>
    <w:rsid w:val="00670950"/>
    <w:rsid w:val="00670BA9"/>
    <w:rsid w:val="0067242F"/>
    <w:rsid w:val="00674B4B"/>
    <w:rsid w:val="006766AE"/>
    <w:rsid w:val="00676A6C"/>
    <w:rsid w:val="00687C11"/>
    <w:rsid w:val="00690CF7"/>
    <w:rsid w:val="00693AAD"/>
    <w:rsid w:val="0069552E"/>
    <w:rsid w:val="00695CBF"/>
    <w:rsid w:val="00697558"/>
    <w:rsid w:val="00697C97"/>
    <w:rsid w:val="006A6716"/>
    <w:rsid w:val="006B0F44"/>
    <w:rsid w:val="006B14DF"/>
    <w:rsid w:val="006B5BBC"/>
    <w:rsid w:val="006B5CBF"/>
    <w:rsid w:val="006C106D"/>
    <w:rsid w:val="006C1979"/>
    <w:rsid w:val="006D0B87"/>
    <w:rsid w:val="006D1168"/>
    <w:rsid w:val="006D1949"/>
    <w:rsid w:val="006E4E45"/>
    <w:rsid w:val="006F149C"/>
    <w:rsid w:val="006F329C"/>
    <w:rsid w:val="007022BD"/>
    <w:rsid w:val="00705324"/>
    <w:rsid w:val="00705518"/>
    <w:rsid w:val="00707163"/>
    <w:rsid w:val="00715177"/>
    <w:rsid w:val="00716ED3"/>
    <w:rsid w:val="00731DD6"/>
    <w:rsid w:val="00734B1E"/>
    <w:rsid w:val="00735493"/>
    <w:rsid w:val="00735D56"/>
    <w:rsid w:val="00736C05"/>
    <w:rsid w:val="00741346"/>
    <w:rsid w:val="00744A34"/>
    <w:rsid w:val="00752256"/>
    <w:rsid w:val="00752B4E"/>
    <w:rsid w:val="0075549C"/>
    <w:rsid w:val="00763735"/>
    <w:rsid w:val="00765E91"/>
    <w:rsid w:val="00767785"/>
    <w:rsid w:val="007821D7"/>
    <w:rsid w:val="00782BF6"/>
    <w:rsid w:val="007860E7"/>
    <w:rsid w:val="00790415"/>
    <w:rsid w:val="007948DD"/>
    <w:rsid w:val="007A012C"/>
    <w:rsid w:val="007A0698"/>
    <w:rsid w:val="007A159C"/>
    <w:rsid w:val="007A617E"/>
    <w:rsid w:val="007A7E6B"/>
    <w:rsid w:val="007B3B10"/>
    <w:rsid w:val="007D100C"/>
    <w:rsid w:val="007D3930"/>
    <w:rsid w:val="007D66C3"/>
    <w:rsid w:val="007E262F"/>
    <w:rsid w:val="007E4FEF"/>
    <w:rsid w:val="007F2325"/>
    <w:rsid w:val="007F44CB"/>
    <w:rsid w:val="007F4CAD"/>
    <w:rsid w:val="007F6BFA"/>
    <w:rsid w:val="007F6C0F"/>
    <w:rsid w:val="007F6D5C"/>
    <w:rsid w:val="008057A0"/>
    <w:rsid w:val="008107B5"/>
    <w:rsid w:val="00813800"/>
    <w:rsid w:val="008207DB"/>
    <w:rsid w:val="00824C73"/>
    <w:rsid w:val="008353C5"/>
    <w:rsid w:val="0084041C"/>
    <w:rsid w:val="00840A73"/>
    <w:rsid w:val="00845467"/>
    <w:rsid w:val="00850946"/>
    <w:rsid w:val="00855D7B"/>
    <w:rsid w:val="00864CFB"/>
    <w:rsid w:val="0087262A"/>
    <w:rsid w:val="008772A0"/>
    <w:rsid w:val="00880BBF"/>
    <w:rsid w:val="008815CC"/>
    <w:rsid w:val="008824DB"/>
    <w:rsid w:val="00886B0E"/>
    <w:rsid w:val="00887342"/>
    <w:rsid w:val="00890494"/>
    <w:rsid w:val="00893805"/>
    <w:rsid w:val="00897BE3"/>
    <w:rsid w:val="008A4029"/>
    <w:rsid w:val="008A7C8A"/>
    <w:rsid w:val="008C31DB"/>
    <w:rsid w:val="008C3759"/>
    <w:rsid w:val="008C4521"/>
    <w:rsid w:val="008C570A"/>
    <w:rsid w:val="008C6439"/>
    <w:rsid w:val="008C6DB1"/>
    <w:rsid w:val="008C715E"/>
    <w:rsid w:val="008D5B7C"/>
    <w:rsid w:val="008F0889"/>
    <w:rsid w:val="00915DF5"/>
    <w:rsid w:val="00916589"/>
    <w:rsid w:val="00923CEB"/>
    <w:rsid w:val="0092683D"/>
    <w:rsid w:val="00927C62"/>
    <w:rsid w:val="00930F09"/>
    <w:rsid w:val="0093543F"/>
    <w:rsid w:val="009418B7"/>
    <w:rsid w:val="00951844"/>
    <w:rsid w:val="00963ACC"/>
    <w:rsid w:val="00964482"/>
    <w:rsid w:val="00965FC1"/>
    <w:rsid w:val="00966636"/>
    <w:rsid w:val="00975589"/>
    <w:rsid w:val="00975CE8"/>
    <w:rsid w:val="0098656A"/>
    <w:rsid w:val="00987068"/>
    <w:rsid w:val="009924BE"/>
    <w:rsid w:val="00992696"/>
    <w:rsid w:val="00992CE4"/>
    <w:rsid w:val="00997654"/>
    <w:rsid w:val="009A13E0"/>
    <w:rsid w:val="009B0A28"/>
    <w:rsid w:val="009B13D8"/>
    <w:rsid w:val="009B3659"/>
    <w:rsid w:val="009B7AC5"/>
    <w:rsid w:val="009C37FA"/>
    <w:rsid w:val="009D1A6B"/>
    <w:rsid w:val="009D39F4"/>
    <w:rsid w:val="009D7106"/>
    <w:rsid w:val="009E740F"/>
    <w:rsid w:val="009F372A"/>
    <w:rsid w:val="009F3EAC"/>
    <w:rsid w:val="009F6FD3"/>
    <w:rsid w:val="009F7334"/>
    <w:rsid w:val="00A0059D"/>
    <w:rsid w:val="00A049F8"/>
    <w:rsid w:val="00A0649A"/>
    <w:rsid w:val="00A07F76"/>
    <w:rsid w:val="00A16979"/>
    <w:rsid w:val="00A1741A"/>
    <w:rsid w:val="00A3187A"/>
    <w:rsid w:val="00A3386A"/>
    <w:rsid w:val="00A4048A"/>
    <w:rsid w:val="00A510C2"/>
    <w:rsid w:val="00A51335"/>
    <w:rsid w:val="00A57B43"/>
    <w:rsid w:val="00A6279B"/>
    <w:rsid w:val="00A6302C"/>
    <w:rsid w:val="00A65480"/>
    <w:rsid w:val="00A711BC"/>
    <w:rsid w:val="00A75F2B"/>
    <w:rsid w:val="00A764BE"/>
    <w:rsid w:val="00A81DB7"/>
    <w:rsid w:val="00A83D79"/>
    <w:rsid w:val="00A84887"/>
    <w:rsid w:val="00A85BF2"/>
    <w:rsid w:val="00A92239"/>
    <w:rsid w:val="00A92D10"/>
    <w:rsid w:val="00A92FB4"/>
    <w:rsid w:val="00A961DA"/>
    <w:rsid w:val="00A962EE"/>
    <w:rsid w:val="00A97F96"/>
    <w:rsid w:val="00AA5B6F"/>
    <w:rsid w:val="00AA5B9B"/>
    <w:rsid w:val="00AB22F6"/>
    <w:rsid w:val="00AB233E"/>
    <w:rsid w:val="00AB7CA0"/>
    <w:rsid w:val="00AC1F71"/>
    <w:rsid w:val="00AC4BFE"/>
    <w:rsid w:val="00AD2EB1"/>
    <w:rsid w:val="00AD3DCA"/>
    <w:rsid w:val="00AE1E36"/>
    <w:rsid w:val="00AF282A"/>
    <w:rsid w:val="00AF4FC5"/>
    <w:rsid w:val="00AF73E7"/>
    <w:rsid w:val="00B01104"/>
    <w:rsid w:val="00B03278"/>
    <w:rsid w:val="00B10169"/>
    <w:rsid w:val="00B109A8"/>
    <w:rsid w:val="00B10A91"/>
    <w:rsid w:val="00B1212D"/>
    <w:rsid w:val="00B21493"/>
    <w:rsid w:val="00B265E3"/>
    <w:rsid w:val="00B272F0"/>
    <w:rsid w:val="00B309AF"/>
    <w:rsid w:val="00B34453"/>
    <w:rsid w:val="00B34761"/>
    <w:rsid w:val="00B42BF5"/>
    <w:rsid w:val="00B44890"/>
    <w:rsid w:val="00B449D9"/>
    <w:rsid w:val="00B57E73"/>
    <w:rsid w:val="00B67016"/>
    <w:rsid w:val="00B670DB"/>
    <w:rsid w:val="00B71FC7"/>
    <w:rsid w:val="00B7741C"/>
    <w:rsid w:val="00B91EB8"/>
    <w:rsid w:val="00B960BB"/>
    <w:rsid w:val="00B96FFD"/>
    <w:rsid w:val="00BA0621"/>
    <w:rsid w:val="00BB0D2D"/>
    <w:rsid w:val="00BC255F"/>
    <w:rsid w:val="00BC3D88"/>
    <w:rsid w:val="00BC695E"/>
    <w:rsid w:val="00BC7282"/>
    <w:rsid w:val="00BC7F4C"/>
    <w:rsid w:val="00BD3F54"/>
    <w:rsid w:val="00BD60E1"/>
    <w:rsid w:val="00BD7407"/>
    <w:rsid w:val="00BE05F0"/>
    <w:rsid w:val="00BE0984"/>
    <w:rsid w:val="00BE191A"/>
    <w:rsid w:val="00BE2B8C"/>
    <w:rsid w:val="00BE3C51"/>
    <w:rsid w:val="00BE6D3D"/>
    <w:rsid w:val="00C0154B"/>
    <w:rsid w:val="00C0562E"/>
    <w:rsid w:val="00C05FB7"/>
    <w:rsid w:val="00C10FE3"/>
    <w:rsid w:val="00C11206"/>
    <w:rsid w:val="00C166E6"/>
    <w:rsid w:val="00C17B07"/>
    <w:rsid w:val="00C217B2"/>
    <w:rsid w:val="00C26702"/>
    <w:rsid w:val="00C364C7"/>
    <w:rsid w:val="00C427F5"/>
    <w:rsid w:val="00C433A8"/>
    <w:rsid w:val="00C4560B"/>
    <w:rsid w:val="00C5035D"/>
    <w:rsid w:val="00C51047"/>
    <w:rsid w:val="00C54497"/>
    <w:rsid w:val="00C563DE"/>
    <w:rsid w:val="00C56C8B"/>
    <w:rsid w:val="00C665B1"/>
    <w:rsid w:val="00C66E84"/>
    <w:rsid w:val="00C6797F"/>
    <w:rsid w:val="00C72BF0"/>
    <w:rsid w:val="00C73FA7"/>
    <w:rsid w:val="00C803DC"/>
    <w:rsid w:val="00C86467"/>
    <w:rsid w:val="00C86BFD"/>
    <w:rsid w:val="00C94ECB"/>
    <w:rsid w:val="00CA10DF"/>
    <w:rsid w:val="00CA7AF5"/>
    <w:rsid w:val="00CB3CE4"/>
    <w:rsid w:val="00CB78B1"/>
    <w:rsid w:val="00CD0EDE"/>
    <w:rsid w:val="00CD1E1F"/>
    <w:rsid w:val="00CE4949"/>
    <w:rsid w:val="00CE57FA"/>
    <w:rsid w:val="00CE7E25"/>
    <w:rsid w:val="00CF5602"/>
    <w:rsid w:val="00D0135F"/>
    <w:rsid w:val="00D0223A"/>
    <w:rsid w:val="00D07103"/>
    <w:rsid w:val="00D10864"/>
    <w:rsid w:val="00D11003"/>
    <w:rsid w:val="00D12770"/>
    <w:rsid w:val="00D14F34"/>
    <w:rsid w:val="00D1676B"/>
    <w:rsid w:val="00D203ED"/>
    <w:rsid w:val="00D21FB0"/>
    <w:rsid w:val="00D22D7A"/>
    <w:rsid w:val="00D57676"/>
    <w:rsid w:val="00D609FC"/>
    <w:rsid w:val="00D6713B"/>
    <w:rsid w:val="00D67D63"/>
    <w:rsid w:val="00D80F91"/>
    <w:rsid w:val="00D844FB"/>
    <w:rsid w:val="00D84AFD"/>
    <w:rsid w:val="00D8739A"/>
    <w:rsid w:val="00D912F7"/>
    <w:rsid w:val="00DA19C4"/>
    <w:rsid w:val="00DA3F67"/>
    <w:rsid w:val="00DB1DFF"/>
    <w:rsid w:val="00DB3680"/>
    <w:rsid w:val="00DC470C"/>
    <w:rsid w:val="00DC4B9A"/>
    <w:rsid w:val="00DC73E6"/>
    <w:rsid w:val="00E02A91"/>
    <w:rsid w:val="00E05F60"/>
    <w:rsid w:val="00E0632B"/>
    <w:rsid w:val="00E17353"/>
    <w:rsid w:val="00E20F84"/>
    <w:rsid w:val="00E2289A"/>
    <w:rsid w:val="00E23E93"/>
    <w:rsid w:val="00E26A5A"/>
    <w:rsid w:val="00E4001B"/>
    <w:rsid w:val="00E42890"/>
    <w:rsid w:val="00E44A86"/>
    <w:rsid w:val="00E45C0C"/>
    <w:rsid w:val="00E50C6A"/>
    <w:rsid w:val="00E54C07"/>
    <w:rsid w:val="00E66AB1"/>
    <w:rsid w:val="00E73B81"/>
    <w:rsid w:val="00E8187E"/>
    <w:rsid w:val="00E83DD8"/>
    <w:rsid w:val="00E9538A"/>
    <w:rsid w:val="00EA45FF"/>
    <w:rsid w:val="00EB6A4C"/>
    <w:rsid w:val="00EC0E86"/>
    <w:rsid w:val="00EC1F51"/>
    <w:rsid w:val="00EC5074"/>
    <w:rsid w:val="00ED04B0"/>
    <w:rsid w:val="00ED1C0D"/>
    <w:rsid w:val="00ED207A"/>
    <w:rsid w:val="00EE043A"/>
    <w:rsid w:val="00EE2926"/>
    <w:rsid w:val="00EE6F6B"/>
    <w:rsid w:val="00EE7C0C"/>
    <w:rsid w:val="00EF14FD"/>
    <w:rsid w:val="00EF2C88"/>
    <w:rsid w:val="00EF3653"/>
    <w:rsid w:val="00EF51BE"/>
    <w:rsid w:val="00F072A0"/>
    <w:rsid w:val="00F11D90"/>
    <w:rsid w:val="00F130CF"/>
    <w:rsid w:val="00F133E8"/>
    <w:rsid w:val="00F136B6"/>
    <w:rsid w:val="00F20E61"/>
    <w:rsid w:val="00F24641"/>
    <w:rsid w:val="00F27CF9"/>
    <w:rsid w:val="00F31A1C"/>
    <w:rsid w:val="00F323D4"/>
    <w:rsid w:val="00F34D9A"/>
    <w:rsid w:val="00F34E0E"/>
    <w:rsid w:val="00F353EE"/>
    <w:rsid w:val="00F420F1"/>
    <w:rsid w:val="00F470F8"/>
    <w:rsid w:val="00F541E2"/>
    <w:rsid w:val="00F742B9"/>
    <w:rsid w:val="00F862D2"/>
    <w:rsid w:val="00F87669"/>
    <w:rsid w:val="00F95C1D"/>
    <w:rsid w:val="00FC0715"/>
    <w:rsid w:val="00FD6CD1"/>
    <w:rsid w:val="00FE3AC1"/>
    <w:rsid w:val="00FE4E63"/>
    <w:rsid w:val="00FE59D1"/>
    <w:rsid w:val="00FE5B6B"/>
    <w:rsid w:val="00FE5DB1"/>
    <w:rsid w:val="00FE6A03"/>
    <w:rsid w:val="00FF11E6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E4C41396-CBE8-474F-AA75-44B7F3334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3687D"/>
    <w:pPr>
      <w:spacing w:after="180" w:line="240" w:lineRule="auto"/>
      <w:jc w:val="left"/>
    </w:pPr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Batang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ead2A,2,H2,h2"/>
    <w:basedOn w:val="Normal"/>
    <w:next w:val="Normal"/>
    <w:link w:val="Heading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Heading3">
    <w:name w:val="heading 3"/>
    <w:aliases w:val="Heading 3 3GPP,Underrubrik2,H3,h3"/>
    <w:basedOn w:val="Heading2"/>
    <w:next w:val="Normal"/>
    <w:link w:val="Heading3Char"/>
    <w:qFormat/>
    <w:rsid w:val="0013687D"/>
    <w:pPr>
      <w:keepLines/>
      <w:spacing w:before="120"/>
      <w:ind w:left="1134" w:hanging="1134"/>
      <w:outlineLvl w:val="2"/>
    </w:pPr>
    <w:rPr>
      <w:rFonts w:ascii="Arial" w:eastAsia="Batang" w:hAnsi="Arial" w:cs="Times New Roman"/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rsid w:val="0013687D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3Char">
    <w:name w:val="Heading 3 Char"/>
    <w:aliases w:val="Heading 3 3GPP Char,Underrubrik2 Char,H3 Char,h3 Char"/>
    <w:basedOn w:val="DefaultParagraphFont"/>
    <w:link w:val="Heading3"/>
    <w:rsid w:val="0013687D"/>
    <w:rPr>
      <w:rFonts w:ascii="Arial" w:eastAsia="Batang" w:hAnsi="Arial" w:cs="Times New Roman"/>
      <w:kern w:val="0"/>
      <w:sz w:val="28"/>
      <w:szCs w:val="20"/>
      <w:lang w:val="en-GB" w:eastAsia="en-US"/>
    </w:rPr>
  </w:style>
  <w:style w:type="paragraph" w:styleId="Footer">
    <w:name w:val="footer"/>
    <w:basedOn w:val="Header"/>
    <w:link w:val="Footer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basedOn w:val="DefaultParagraphFont"/>
    <w:link w:val="Footer"/>
    <w:rsid w:val="0013687D"/>
    <w:rPr>
      <w:rFonts w:ascii="Arial" w:eastAsia="Batang" w:hAnsi="Arial" w:cs="Times New Roman"/>
      <w:b/>
      <w:i/>
      <w:noProof/>
      <w:kern w:val="0"/>
      <w:sz w:val="18"/>
      <w:szCs w:val="20"/>
      <w:lang w:eastAsia="en-US"/>
    </w:rPr>
  </w:style>
  <w:style w:type="character" w:styleId="PageNumber">
    <w:name w:val="page number"/>
    <w:basedOn w:val="DefaultParagraphFont"/>
    <w:rsid w:val="0013687D"/>
  </w:style>
  <w:style w:type="paragraph" w:customStyle="1" w:styleId="CRCoverPage">
    <w:name w:val="CR Cover Page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basedOn w:val="Normal"/>
    <w:link w:val="HeaderChar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13687D"/>
    <w:rPr>
      <w:rFonts w:ascii="Times New Roman" w:eastAsia="Batang" w:hAnsi="Times New Roman" w:cs="Times New Roman"/>
      <w:kern w:val="0"/>
      <w:szCs w:val="20"/>
      <w:lang w:val="en-GB" w:eastAsia="en-US"/>
    </w:rPr>
  </w:style>
  <w:style w:type="paragraph" w:styleId="ListParagraph">
    <w:name w:val="List Paragraph"/>
    <w:basedOn w:val="Normal"/>
    <w:uiPriority w:val="34"/>
    <w:qFormat/>
    <w:rsid w:val="00A0059D"/>
    <w:pPr>
      <w:ind w:leftChars="400" w:left="80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TableGrid">
    <w:name w:val="Table Grid"/>
    <w:basedOn w:val="TableNormal"/>
    <w:uiPriority w:val="59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List"/>
    <w:link w:val="B1Zchn"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List2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List3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Malgun Gothic"/>
      <w:lang w:eastAsia="ko-KR"/>
    </w:rPr>
  </w:style>
  <w:style w:type="character" w:customStyle="1" w:styleId="B2Char">
    <w:name w:val="B2 Char"/>
    <w:link w:val="B2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Malgun Gothic" w:hAnsi="Times New Roman" w:cs="Times New Roman"/>
      <w:kern w:val="0"/>
      <w:szCs w:val="20"/>
      <w:lang w:val="en-GB"/>
    </w:rPr>
  </w:style>
  <w:style w:type="paragraph" w:customStyle="1" w:styleId="B4">
    <w:name w:val="B4"/>
    <w:basedOn w:val="List4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Malgun Gothic"/>
      <w:lang w:eastAsia="ko-KR"/>
    </w:rPr>
  </w:style>
  <w:style w:type="paragraph" w:styleId="List">
    <w:name w:val="List"/>
    <w:basedOn w:val="Normal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List4">
    <w:name w:val="List 4"/>
    <w:basedOn w:val="Normal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List5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Malgun Gothic"/>
      <w:lang w:eastAsia="ko-KR"/>
    </w:rPr>
  </w:style>
  <w:style w:type="paragraph" w:styleId="List5">
    <w:name w:val="List 5"/>
    <w:basedOn w:val="Normal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Normal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Malgun Gothic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Malgun Gothic" w:hAnsi="Times New Roman" w:cs="Times New Roman"/>
      <w:kern w:val="0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40EE6"/>
    <w:rPr>
      <w:rFonts w:ascii="Times New Roman" w:eastAsia="Batang" w:hAnsi="Times New Roman" w:cs="Times New Roman"/>
      <w:b/>
      <w:bCs/>
      <w:kern w:val="0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1885</TotalTime>
  <Pages>2</Pages>
  <Words>603</Words>
  <Characters>3443</Characters>
  <Application>Microsoft Office Word</Application>
  <DocSecurity>0</DocSecurity>
  <Lines>28</Lines>
  <Paragraphs>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SunYoung (LG)</dc:creator>
  <cp:lastModifiedBy>SunYoung LEE</cp:lastModifiedBy>
  <cp:revision>296</cp:revision>
  <dcterms:created xsi:type="dcterms:W3CDTF">2014-11-08T03:05:00Z</dcterms:created>
  <dcterms:modified xsi:type="dcterms:W3CDTF">2015-04-11T04:07:00Z</dcterms:modified>
</cp:coreProperties>
</file>